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D8" w:rsidRPr="00AE2498" w:rsidRDefault="009C06A2" w:rsidP="005B1ED8">
      <w:pPr>
        <w:spacing w:after="0" w:line="240" w:lineRule="auto"/>
        <w:jc w:val="both"/>
        <w:rPr>
          <w:lang w:val="en-GB"/>
        </w:rPr>
      </w:pPr>
      <w:r w:rsidRPr="000E2AC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B857A93" wp14:editId="6ABC187D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6254115" cy="88436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2979" name="DCI_2.png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8843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ED8" w:rsidRPr="00AE2498" w:rsidRDefault="005B1ED8" w:rsidP="005B1ED8">
      <w:pPr>
        <w:spacing w:after="0" w:line="240" w:lineRule="auto"/>
        <w:jc w:val="both"/>
        <w:rPr>
          <w:lang w:val="en-GB"/>
        </w:rPr>
      </w:pPr>
      <w:r w:rsidRPr="00AE249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inline distT="0" distB="0" distL="0" distR="0" wp14:anchorId="4D04715D" wp14:editId="3E7DE396">
            <wp:extent cx="1079552" cy="1080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85488" name="logo_dc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D16CFD" w:rsidRDefault="00AD0941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D16CFD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Compliance of the offer</w:t>
      </w:r>
    </w:p>
    <w:p w:rsidR="009C06A2" w:rsidRDefault="009C06A2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</w:p>
    <w:p w:rsidR="005B1ED8" w:rsidRPr="005477E2" w:rsidRDefault="005B1ED8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- Version N°01</w:t>
      </w:r>
    </w:p>
    <w:p w:rsidR="006F1BC0" w:rsidRPr="005477E2" w:rsidRDefault="00EB3A6F" w:rsidP="000921F5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Document No 227.185</w:t>
      </w: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D16CFD" w:rsidRDefault="00D16CFD" w:rsidP="00D16CFD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:rsidR="00D16CFD" w:rsidRPr="00FB00F2" w:rsidRDefault="00D16CFD" w:rsidP="00D16CFD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EB3A6F" w:rsidRDefault="00EB3A6F">
      <w:pPr>
        <w:rPr>
          <w:rFonts w:asciiTheme="majorHAnsi" w:hAnsiTheme="majorHAnsi" w:cstheme="majorHAnsi"/>
          <w:b/>
          <w:bCs/>
          <w:color w:val="598392"/>
          <w:sz w:val="32"/>
          <w:szCs w:val="32"/>
        </w:rPr>
      </w:pPr>
      <w:r>
        <w:br w:type="page"/>
      </w:r>
    </w:p>
    <w:p w:rsidR="00EB3A6F" w:rsidRDefault="00EB3A6F" w:rsidP="00EB3A6F">
      <w:pPr>
        <w:pStyle w:val="Titre1"/>
        <w:numPr>
          <w:ilvl w:val="0"/>
          <w:numId w:val="0"/>
        </w:numPr>
        <w:ind w:left="720"/>
      </w:pPr>
    </w:p>
    <w:p w:rsidR="00FE1D69" w:rsidRDefault="00FE1D69" w:rsidP="00FE1D69">
      <w:pPr>
        <w:pStyle w:val="Titre1"/>
      </w:pPr>
      <w:r>
        <w:t>Administrative Compliance</w:t>
      </w:r>
    </w:p>
    <w:p w:rsidR="00FE1D69" w:rsidRDefault="00FE1D69" w:rsidP="00FE1D69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7"/>
        <w:gridCol w:w="4016"/>
        <w:gridCol w:w="1276"/>
        <w:gridCol w:w="1559"/>
        <w:gridCol w:w="1552"/>
      </w:tblGrid>
      <w:tr w:rsidR="00935E82" w:rsidRPr="009D0704" w:rsidTr="009A2B0A">
        <w:trPr>
          <w:tblHeader/>
        </w:trPr>
        <w:tc>
          <w:tcPr>
            <w:tcW w:w="7508" w:type="dxa"/>
            <w:gridSpan w:val="4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Administrative compliance</w:t>
            </w:r>
          </w:p>
        </w:tc>
        <w:tc>
          <w:tcPr>
            <w:tcW w:w="1552" w:type="dxa"/>
            <w:vMerge w:val="restart"/>
            <w:shd w:val="clear" w:color="auto" w:fill="A6A6A6" w:themeFill="background1" w:themeFillShade="A6"/>
            <w:vAlign w:val="center"/>
          </w:tcPr>
          <w:p w:rsidR="00935E82" w:rsidRPr="009D0704" w:rsidRDefault="00935E82" w:rsidP="009A2B0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Commission validation</w:t>
            </w:r>
          </w:p>
        </w:tc>
      </w:tr>
      <w:tr w:rsidR="00935E82" w:rsidRPr="00EA7EA7" w:rsidTr="009A2B0A">
        <w:trPr>
          <w:tblHeader/>
        </w:trPr>
        <w:tc>
          <w:tcPr>
            <w:tcW w:w="4673" w:type="dxa"/>
            <w:gridSpan w:val="2"/>
            <w:shd w:val="clear" w:color="auto" w:fill="A6A6A6" w:themeFill="background1" w:themeFillShade="A6"/>
          </w:tcPr>
          <w:p w:rsidR="00935E82" w:rsidRPr="009D0704" w:rsidRDefault="00935E82" w:rsidP="009D0704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Wording</w:t>
            </w:r>
            <w:proofErr w:type="spellEnd"/>
          </w:p>
        </w:tc>
        <w:tc>
          <w:tcPr>
            <w:tcW w:w="1276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Compliance (YES/NO)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If applicable, justification document</w:t>
            </w:r>
          </w:p>
        </w:tc>
        <w:tc>
          <w:tcPr>
            <w:tcW w:w="1552" w:type="dxa"/>
            <w:vMerge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823908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Eligibility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Not in a state of bankruptcy, liquidation, judicial settlement, cessation of activity, or in any analogous situation resulting from a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procedure of declaration of bankruptcy, liquidation, legal settlement or any other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conviction pronounced by a judgment having the force of res judicata (that is to say, against which there is no longer any possible appeal) for any offense involving their professional 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professional matters, has not committed serious misconduct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social security contributions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taxes and duties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not been seriously guilty of misrepresentation in providing the information required by DCI for its participation in a contract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Does not act as a front company created to conceal financial transactions and/or launder money from one or more other companies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the context of another contract entered into with DCI, has not been declared in serious breach of performance due to non-compliance with its contractual obligations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It has not been established by a final judgment that the company is guilty of any of the following facts: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proofErr w:type="spellStart"/>
            <w:r w:rsidRPr="00D16CFD">
              <w:rPr>
                <w:lang w:val="en-US"/>
              </w:rPr>
              <w:lastRenderedPageBreak/>
              <w:t>i</w:t>
            </w:r>
            <w:proofErr w:type="spellEnd"/>
            <w:r w:rsidRPr="00D16CFD">
              <w:rPr>
                <w:lang w:val="en-US"/>
              </w:rPr>
              <w:t xml:space="preserve">. </w:t>
            </w:r>
            <w:r w:rsidRPr="00D16CFD">
              <w:rPr>
                <w:lang w:val="en-US"/>
              </w:rPr>
              <w:tab/>
              <w:t>fraud, within the meaning of Article 3 of Directive (EU) 2017/1371;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ii. </w:t>
            </w:r>
            <w:r w:rsidRPr="00D16CFD">
              <w:rPr>
                <w:lang w:val="en-US"/>
              </w:rPr>
              <w:tab/>
              <w:t>corruption, as defined in Article 4(2) of Directive (EU) 2071/1371;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iii. </w:t>
            </w:r>
            <w:r w:rsidRPr="00D16CFD">
              <w:rPr>
                <w:lang w:val="en-US"/>
              </w:rPr>
              <w:tab/>
              <w:t>behavior linked to a criminal organization referred to in Article 2 of the Framework Decision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iv. </w:t>
            </w:r>
            <w:r w:rsidRPr="00D16CFD">
              <w:rPr>
                <w:lang w:val="en-US"/>
              </w:rPr>
              <w:tab/>
              <w:t>2008/841/JHA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v. </w:t>
            </w:r>
            <w:r w:rsidRPr="00D16CFD">
              <w:rPr>
                <w:lang w:val="en-US"/>
              </w:rPr>
              <w:tab/>
              <w:t>money laundering or terrorist financing within the meaning of Article 1, paragraphs 3, 4 and 5 of Directive (EU) 2015/849 of the European Parliament and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vi. </w:t>
            </w:r>
            <w:r w:rsidRPr="00D16CFD">
              <w:rPr>
                <w:lang w:val="en-US"/>
              </w:rPr>
              <w:tab/>
              <w:t>terrorist offense or offense related to terrorist activities, as defined respectively in Article 1 and Article 3 of Council Framework Decision 2002/475/JHA, or incitement to commit an offence, complicity or attempt infringement as referred to in Article 4 of the said decision;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vii. </w:t>
            </w:r>
            <w:r w:rsidRPr="00D16CFD">
              <w:rPr>
                <w:lang w:val="en-US"/>
              </w:rPr>
              <w:tab/>
              <w:t>child labor or other forms of trafficking in human beings as defined in Article 2 of Directive 2011/36/EU of the European Parliament and of the Council;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Benefit does not exceed 50% of turnover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3B40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Professional experience of at least 5 years in </w:t>
            </w:r>
            <w:r w:rsidR="003B40E3">
              <w:rPr>
                <w:lang w:val="en-US"/>
              </w:rPr>
              <w:t>the same field as the call for tenders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Performing a service of the same type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3D5F34" w:rsidRPr="00A776E3" w:rsidTr="00A776E3">
        <w:tc>
          <w:tcPr>
            <w:tcW w:w="657" w:type="dxa"/>
            <w:vMerge w:val="restart"/>
            <w:textDirection w:val="btLr"/>
            <w:vAlign w:val="center"/>
          </w:tcPr>
          <w:p w:rsidR="003D5F34" w:rsidRPr="009D0704" w:rsidRDefault="003D5F34" w:rsidP="00A776E3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Documents</w:t>
            </w:r>
          </w:p>
        </w:tc>
        <w:tc>
          <w:tcPr>
            <w:tcW w:w="4016" w:type="dxa"/>
          </w:tcPr>
          <w:p w:rsidR="003D5F34" w:rsidRDefault="003D5F34" w:rsidP="00A776E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Declaration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honor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signed</w:t>
            </w:r>
            <w:proofErr w:type="spellEnd"/>
          </w:p>
        </w:tc>
        <w:tc>
          <w:tcPr>
            <w:tcW w:w="1276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</w:tr>
      <w:tr w:rsidR="003D5F34" w:rsidRPr="00EA7EA7" w:rsidTr="009A2B0A">
        <w:tc>
          <w:tcPr>
            <w:tcW w:w="657" w:type="dxa"/>
            <w:vMerge/>
          </w:tcPr>
          <w:p w:rsidR="003D5F34" w:rsidRDefault="003D5F34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3D5F34" w:rsidRPr="00D16CFD" w:rsidRDefault="003D5F34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Document justifying registration as a legal person</w:t>
            </w:r>
          </w:p>
        </w:tc>
        <w:tc>
          <w:tcPr>
            <w:tcW w:w="1276" w:type="dxa"/>
          </w:tcPr>
          <w:p w:rsidR="003D5F34" w:rsidRPr="00D16CFD" w:rsidRDefault="003D5F34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D5F34" w:rsidRPr="00D16CFD" w:rsidRDefault="003D5F34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3D5F34" w:rsidRPr="00D16CFD" w:rsidRDefault="003D5F34" w:rsidP="00A776E3">
            <w:pPr>
              <w:rPr>
                <w:lang w:val="en-US"/>
              </w:rPr>
            </w:pPr>
          </w:p>
        </w:tc>
      </w:tr>
      <w:tr w:rsidR="003D5F34" w:rsidRPr="009D0704" w:rsidTr="009A2B0A">
        <w:tc>
          <w:tcPr>
            <w:tcW w:w="657" w:type="dxa"/>
            <w:vMerge/>
          </w:tcPr>
          <w:p w:rsidR="003D5F34" w:rsidRPr="00D16CFD" w:rsidRDefault="003D5F34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3D5F34" w:rsidRDefault="003D5F34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Vigilance </w:t>
            </w:r>
            <w:proofErr w:type="spellStart"/>
            <w:r>
              <w:rPr>
                <w:lang w:val="fr-FR"/>
              </w:rPr>
              <w:t>certificate</w:t>
            </w:r>
            <w:proofErr w:type="spellEnd"/>
          </w:p>
        </w:tc>
        <w:tc>
          <w:tcPr>
            <w:tcW w:w="1276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</w:tr>
      <w:tr w:rsidR="003D5F34" w:rsidRPr="003B40E3" w:rsidTr="009A2B0A">
        <w:tc>
          <w:tcPr>
            <w:tcW w:w="657" w:type="dxa"/>
            <w:vMerge/>
          </w:tcPr>
          <w:p w:rsidR="003D5F34" w:rsidRDefault="003D5F34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3D5F34" w:rsidRDefault="003D5F34" w:rsidP="00A776E3">
            <w:pPr>
              <w:rPr>
                <w:lang w:val="fr-FR"/>
              </w:rPr>
            </w:pPr>
            <w:r w:rsidRPr="003B40E3">
              <w:rPr>
                <w:lang w:val="en-US"/>
              </w:rPr>
              <w:t>civil liability certificate</w:t>
            </w:r>
          </w:p>
        </w:tc>
        <w:tc>
          <w:tcPr>
            <w:tcW w:w="1276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3D5F34" w:rsidRPr="009D0704" w:rsidRDefault="003D5F34" w:rsidP="00A776E3">
            <w:pPr>
              <w:rPr>
                <w:lang w:val="fr-FR"/>
              </w:rPr>
            </w:pPr>
          </w:p>
        </w:tc>
      </w:tr>
      <w:tr w:rsidR="003D5F34" w:rsidRPr="003B40E3" w:rsidTr="009A2B0A">
        <w:tc>
          <w:tcPr>
            <w:tcW w:w="657" w:type="dxa"/>
            <w:vMerge/>
          </w:tcPr>
          <w:p w:rsidR="003D5F34" w:rsidRDefault="003D5F34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3D5F34" w:rsidRPr="003B40E3" w:rsidRDefault="003D5F34" w:rsidP="00A776E3">
            <w:pPr>
              <w:rPr>
                <w:lang w:val="en-US"/>
              </w:rPr>
            </w:pPr>
            <w:r w:rsidRPr="003D5F34">
              <w:rPr>
                <w:lang w:val="en-US"/>
              </w:rPr>
              <w:t>description of the product warranty organization</w:t>
            </w:r>
          </w:p>
        </w:tc>
        <w:tc>
          <w:tcPr>
            <w:tcW w:w="1276" w:type="dxa"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</w:tr>
      <w:tr w:rsidR="003D5F34" w:rsidRPr="003B40E3" w:rsidTr="009A2B0A">
        <w:tc>
          <w:tcPr>
            <w:tcW w:w="657" w:type="dxa"/>
            <w:vMerge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3D5F34" w:rsidRPr="003B40E3" w:rsidRDefault="003D5F34" w:rsidP="00A776E3">
            <w:pPr>
              <w:rPr>
                <w:lang w:val="en-US"/>
              </w:rPr>
            </w:pPr>
            <w:r w:rsidRPr="003D5F34">
              <w:rPr>
                <w:lang w:val="en-US"/>
              </w:rPr>
              <w:t>The certificate of vigilance issued by the collection agency to which it belong, which states that the company is up to date with all of its social obligations</w:t>
            </w:r>
          </w:p>
        </w:tc>
        <w:tc>
          <w:tcPr>
            <w:tcW w:w="1276" w:type="dxa"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3D5F34" w:rsidRPr="003D5F34" w:rsidRDefault="003D5F34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A776E3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Form</w:t>
            </w:r>
            <w:proofErr w:type="spellEnd"/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Deadline for submitting the offer respected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 xml:space="preserve">Complete </w:t>
            </w:r>
            <w:proofErr w:type="spellStart"/>
            <w:r>
              <w:rPr>
                <w:lang w:val="fr-FR"/>
              </w:rPr>
              <w:t>offer</w:t>
            </w:r>
            <w:proofErr w:type="spellEnd"/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3B40E3" w:rsidRDefault="00A776E3" w:rsidP="00A776E3">
            <w:pPr>
              <w:rPr>
                <w:lang w:val="en-US"/>
              </w:rPr>
            </w:pPr>
            <w:r w:rsidRPr="003B40E3">
              <w:rPr>
                <w:lang w:val="en-US"/>
              </w:rPr>
              <w:t>Offer in French</w:t>
            </w:r>
            <w:r w:rsidR="003B40E3">
              <w:rPr>
                <w:lang w:val="en-US"/>
              </w:rPr>
              <w:t xml:space="preserve"> or with an English translation</w:t>
            </w:r>
          </w:p>
        </w:tc>
        <w:tc>
          <w:tcPr>
            <w:tcW w:w="1276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Period of validity of offers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</w:tbl>
    <w:p w:rsidR="00B94DFE" w:rsidRPr="00D16CFD" w:rsidRDefault="00B94DFE" w:rsidP="00FE1D69">
      <w:pPr>
        <w:rPr>
          <w:lang w:val="en-US"/>
        </w:rPr>
      </w:pPr>
    </w:p>
    <w:p w:rsidR="005B1ED8" w:rsidRPr="003E57AB" w:rsidRDefault="00AD0941" w:rsidP="00FE1D69">
      <w:pPr>
        <w:pStyle w:val="Titre1"/>
      </w:pPr>
      <w:r w:rsidRPr="003E57AB">
        <w:lastRenderedPageBreak/>
        <w:t>Compliance with technical requirements</w:t>
      </w:r>
    </w:p>
    <w:p w:rsidR="005B1ED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:rsidR="00A963E0" w:rsidRPr="007B18B5" w:rsidRDefault="00A963E0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BA7D6A" w:rsidRPr="008A7455" w:rsidTr="003B40E3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  <w:r w:rsid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</w:t>
            </w:r>
            <w:r w:rsidR="00A963E0" w:rsidRP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Binoculars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D5376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 offer</w:t>
            </w:r>
            <w:r w:rsid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</w:t>
            </w:r>
            <w:r w:rsidR="009C06A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VHF </w:t>
            </w:r>
            <w:r w:rsidR="00D5376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transc</w:t>
            </w:r>
            <w:r w:rsidR="009C06A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eiver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BA7D6A" w:rsidRPr="008A7455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tr w:rsidR="00BA7D6A" w:rsidRPr="005B1ED8" w:rsidTr="005477E2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5B1ED8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(C) / Non- </w:t>
            </w: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5B1E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offer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</w:t>
            </w:r>
            <w:proofErr w:type="spellStart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chapter</w:t>
            </w:r>
            <w:proofErr w:type="spellEnd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paragraph</w:t>
            </w:r>
            <w:proofErr w:type="spellEnd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A7D6A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Marine VHF radio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Fixed mount type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Transmitter out power : 25W (high), 1 W (low)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TX frequency range : 156,025MHz to 161,600 MHz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RX frequency range : 156,050MHz to 163,275 MHz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4F24B3">
              <w:rPr>
                <w:rFonts w:asciiTheme="majorHAnsi" w:hAnsiTheme="majorHAnsi" w:cstheme="majorHAnsi"/>
                <w:lang w:val="en-GB"/>
              </w:rPr>
              <w:t>Wide angle colour TFT LCD</w:t>
            </w:r>
            <w:r>
              <w:rPr>
                <w:rFonts w:asciiTheme="majorHAnsi" w:hAnsiTheme="majorHAnsi" w:cstheme="majorHAnsi"/>
                <w:lang w:val="en-GB"/>
              </w:rPr>
              <w:t xml:space="preserve"> (day and night modes)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4F24B3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Digital Selective Calling (DSC)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497208">
              <w:rPr>
                <w:rFonts w:asciiTheme="majorHAnsi" w:hAnsiTheme="majorHAnsi" w:cstheme="majorHAnsi"/>
                <w:lang w:val="en-GB"/>
              </w:rPr>
              <w:t>Plotter, Target list and Danger list can be toggled on the display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Active noise cancelling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4F24B3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Man Overboard Operation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4F24B3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NMEA 2000™, NMEA 0183</w:t>
            </w:r>
            <w:r w:rsidRPr="004F24B3">
              <w:rPr>
                <w:rFonts w:asciiTheme="majorHAnsi" w:hAnsiTheme="majorHAnsi" w:cstheme="majorHAnsi"/>
                <w:lang w:val="en-GB"/>
              </w:rPr>
              <w:t xml:space="preserve"> connectivity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IP67 </w:t>
            </w:r>
            <w:r w:rsidRPr="004F24B3">
              <w:rPr>
                <w:rFonts w:asciiTheme="majorHAnsi" w:hAnsiTheme="majorHAnsi" w:cstheme="majorHAnsi"/>
                <w:lang w:val="en-GB"/>
              </w:rPr>
              <w:t>P</w:t>
            </w:r>
            <w:r>
              <w:rPr>
                <w:rFonts w:asciiTheme="majorHAnsi" w:hAnsiTheme="majorHAnsi" w:cstheme="majorHAnsi"/>
                <w:lang w:val="en-GB"/>
              </w:rPr>
              <w:t>rotection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rPr>
                <w:rFonts w:asciiTheme="majorHAnsi" w:hAnsiTheme="majorHAnsi" w:cstheme="majorHAnsi"/>
                <w:lang w:val="en-US"/>
              </w:rPr>
            </w:pPr>
            <w:r w:rsidRPr="00265475">
              <w:rPr>
                <w:rFonts w:asciiTheme="majorHAnsi" w:hAnsiTheme="majorHAnsi" w:cstheme="majorHAnsi"/>
                <w:lang w:val="en-GB"/>
              </w:rPr>
              <w:t xml:space="preserve">Compatible with </w:t>
            </w:r>
            <w:r>
              <w:rPr>
                <w:rFonts w:asciiTheme="majorHAnsi" w:hAnsiTheme="majorHAnsi" w:cstheme="majorHAnsi"/>
                <w:lang w:val="en-GB"/>
              </w:rPr>
              <w:t>12 V / 24V power sources, power cable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265475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E23627">
              <w:rPr>
                <w:rFonts w:asciiTheme="majorHAnsi" w:hAnsiTheme="majorHAnsi" w:cstheme="majorHAnsi"/>
                <w:lang w:val="en-GB"/>
              </w:rPr>
              <w:t>O</w:t>
            </w:r>
            <w:r>
              <w:rPr>
                <w:rFonts w:asciiTheme="majorHAnsi" w:hAnsiTheme="majorHAnsi" w:cstheme="majorHAnsi"/>
                <w:lang w:val="en-GB"/>
              </w:rPr>
              <w:t>perating temperature: -20°C to 55</w:t>
            </w:r>
            <w:r w:rsidRPr="00E23627">
              <w:rPr>
                <w:rFonts w:asciiTheme="majorHAnsi" w:hAnsiTheme="majorHAnsi" w:cstheme="majorHAnsi"/>
                <w:lang w:val="en-GB"/>
              </w:rPr>
              <w:t>°C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GB"/>
              </w:rPr>
              <w:t>Speaker microphone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2B321D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Antenna, tripod for antenna and antenna cable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A7455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2B321D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265475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Mount kit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2B321D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807806">
              <w:rPr>
                <w:rFonts w:asciiTheme="majorHAnsi" w:hAnsiTheme="majorHAnsi" w:cstheme="majorHAnsi"/>
                <w:lang w:val="en-GB"/>
              </w:rPr>
              <w:t>Warranty : ≥ 2 years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2B321D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07806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The 100 VHF radio</w:t>
            </w:r>
            <w:r w:rsidRPr="0034129D">
              <w:rPr>
                <w:rFonts w:asciiTheme="majorHAnsi" w:hAnsiTheme="majorHAnsi" w:cstheme="majorHAnsi"/>
                <w:lang w:val="en-GB"/>
              </w:rPr>
              <w:t xml:space="preserve"> must have an identical configuration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Each VHF radio is delivered with its user manual in English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2B321D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07806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34129D">
              <w:rPr>
                <w:rFonts w:asciiTheme="majorHAnsi" w:hAnsiTheme="majorHAnsi" w:cstheme="majorHAnsi"/>
                <w:lang w:val="en-GB"/>
              </w:rPr>
              <w:t xml:space="preserve">The </w:t>
            </w:r>
            <w:r>
              <w:rPr>
                <w:rFonts w:asciiTheme="majorHAnsi" w:hAnsiTheme="majorHAnsi" w:cstheme="majorHAnsi"/>
                <w:lang w:val="en-GB"/>
              </w:rPr>
              <w:t xml:space="preserve">VHF radio </w:t>
            </w:r>
            <w:r w:rsidRPr="0034129D">
              <w:rPr>
                <w:rFonts w:asciiTheme="majorHAnsi" w:hAnsiTheme="majorHAnsi" w:cstheme="majorHAnsi"/>
                <w:lang w:val="en-GB"/>
              </w:rPr>
              <w:t>packaging is compliant with international s</w:t>
            </w:r>
            <w:r>
              <w:rPr>
                <w:rFonts w:asciiTheme="majorHAnsi" w:hAnsiTheme="majorHAnsi" w:cstheme="majorHAnsi"/>
                <w:lang w:val="en-GB"/>
              </w:rPr>
              <w:t>tandards and they protects the radio</w:t>
            </w:r>
            <w:r w:rsidRPr="0034129D">
              <w:rPr>
                <w:rFonts w:asciiTheme="majorHAnsi" w:hAnsiTheme="majorHAnsi" w:cstheme="majorHAnsi"/>
                <w:lang w:val="en-GB"/>
              </w:rPr>
              <w:t xml:space="preserve">s against the shocks, high temperature and humidity. The packaging </w:t>
            </w:r>
            <w:proofErr w:type="gramStart"/>
            <w:r w:rsidRPr="0034129D">
              <w:rPr>
                <w:rFonts w:asciiTheme="majorHAnsi" w:hAnsiTheme="majorHAnsi" w:cstheme="majorHAnsi"/>
                <w:lang w:val="en-GB"/>
              </w:rPr>
              <w:t>are sealed</w:t>
            </w:r>
            <w:proofErr w:type="gramEnd"/>
            <w:r w:rsidRPr="0034129D">
              <w:rPr>
                <w:rFonts w:asciiTheme="majorHAnsi" w:hAnsiTheme="majorHAnsi" w:cstheme="majorHAnsi"/>
                <w:lang w:val="en-GB"/>
              </w:rPr>
              <w:t xml:space="preserve"> during shipping.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F23BD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2B321D" w:rsidRDefault="00BB6A1D" w:rsidP="00BB6A1D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EX-23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07806" w:rsidRDefault="00BB6A1D" w:rsidP="00BB6A1D">
            <w:pPr>
              <w:rPr>
                <w:rFonts w:asciiTheme="majorHAnsi" w:hAnsiTheme="majorHAnsi" w:cstheme="majorHAnsi"/>
                <w:lang w:val="en-GB"/>
              </w:rPr>
            </w:pPr>
            <w:r w:rsidRPr="00133B75">
              <w:rPr>
                <w:rFonts w:asciiTheme="majorHAnsi" w:hAnsiTheme="majorHAnsi" w:cstheme="majorHAnsi"/>
                <w:lang w:val="en-GB"/>
              </w:rPr>
              <w:t>The 100 VHF transceivers are delivered before 3 months after order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3D5F34" w:rsidRDefault="003D5F34" w:rsidP="003E57AB">
      <w:pPr>
        <w:tabs>
          <w:tab w:val="left" w:pos="993"/>
        </w:tabs>
        <w:spacing w:before="120" w:after="120" w:line="240" w:lineRule="auto"/>
        <w:jc w:val="both"/>
        <w:outlineLvl w:val="1"/>
        <w:rPr>
          <w:lang w:val="en-US"/>
        </w:rPr>
      </w:pPr>
      <w:bookmarkStart w:id="0" w:name="_Toc127780071"/>
      <w:bookmarkStart w:id="1" w:name="_Toc127780072"/>
      <w:bookmarkStart w:id="2" w:name="_Toc127780074"/>
      <w:bookmarkStart w:id="3" w:name="_Toc127780075"/>
      <w:bookmarkStart w:id="4" w:name="_Toc127780076"/>
      <w:bookmarkStart w:id="5" w:name="_Toc127780077"/>
      <w:bookmarkStart w:id="6" w:name="_Toc127780078"/>
      <w:bookmarkStart w:id="7" w:name="_Toc127780079"/>
      <w:bookmarkStart w:id="8" w:name="_Toc127780080"/>
      <w:bookmarkStart w:id="9" w:name="_Toc127780082"/>
      <w:bookmarkStart w:id="10" w:name="_Toc127780083"/>
      <w:bookmarkStart w:id="11" w:name="_Toc127780084"/>
      <w:bookmarkStart w:id="12" w:name="_Toc127780085"/>
      <w:bookmarkStart w:id="13" w:name="_Toc127780086"/>
      <w:bookmarkStart w:id="14" w:name="_Toc127780087"/>
      <w:bookmarkStart w:id="15" w:name="_Toc127780088"/>
      <w:bookmarkStart w:id="16" w:name="_Toc127780089"/>
      <w:bookmarkStart w:id="17" w:name="_Toc127780093"/>
      <w:bookmarkStart w:id="18" w:name="_Toc127780094"/>
      <w:bookmarkStart w:id="19" w:name="_Toc127780096"/>
      <w:bookmarkStart w:id="20" w:name="_Toc127780097"/>
      <w:bookmarkStart w:id="21" w:name="_Toc1277800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3D5F34" w:rsidRDefault="003D5F34">
      <w:pPr>
        <w:rPr>
          <w:lang w:val="en-US"/>
        </w:rPr>
      </w:pPr>
      <w:r>
        <w:rPr>
          <w:lang w:val="en-US"/>
        </w:rPr>
        <w:br w:type="page"/>
      </w:r>
    </w:p>
    <w:p w:rsidR="003E57AB" w:rsidRPr="00D16CFD" w:rsidRDefault="003E57AB" w:rsidP="003E57AB">
      <w:pPr>
        <w:tabs>
          <w:tab w:val="left" w:pos="993"/>
        </w:tabs>
        <w:spacing w:before="120" w:after="120" w:line="240" w:lineRule="auto"/>
        <w:jc w:val="both"/>
        <w:outlineLvl w:val="1"/>
        <w:rPr>
          <w:lang w:val="en-US"/>
        </w:rPr>
      </w:pPr>
    </w:p>
    <w:p w:rsidR="00A963E0" w:rsidRDefault="00A963E0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A963E0" w:rsidRPr="008A7455" w:rsidTr="006F330A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bookmarkStart w:id="22" w:name="_GoBack"/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Telescope</w:t>
            </w:r>
            <w:r w:rsidRPr="00A963E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s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 offer</w:t>
            </w:r>
            <w:r w:rsidR="009C06A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 xml:space="preserve"> AIS </w:t>
            </w:r>
            <w:r w:rsidR="00D53762" w:rsidRPr="00D5376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receiver transponder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A963E0" w:rsidRPr="008A745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bookmarkEnd w:id="22"/>
      <w:tr w:rsidR="00A963E0" w:rsidRPr="005B1ED8" w:rsidTr="006F330A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5B1ED8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(C) / Non- </w:t>
            </w:r>
            <w:proofErr w:type="spellStart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</w:t>
            </w:r>
            <w:proofErr w:type="spellEnd"/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A963E0" w:rsidRPr="007B18B5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offer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</w:t>
            </w:r>
            <w:proofErr w:type="spellStart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chapter</w:t>
            </w:r>
            <w:proofErr w:type="spellEnd"/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paragraph</w:t>
            </w:r>
            <w:proofErr w:type="spellEnd"/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963E0" w:rsidRDefault="00A963E0" w:rsidP="006F330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AD0F97" w:rsidRDefault="00BB6A1D" w:rsidP="00BB6A1D">
            <w:pPr>
              <w:spacing w:after="120"/>
              <w:rPr>
                <w:rFonts w:asciiTheme="majorHAnsi" w:hAnsiTheme="majorHAnsi" w:cstheme="majorHAnsi"/>
                <w:highlight w:val="yellow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AIS </w:t>
            </w:r>
            <w:r w:rsidRPr="003F28C0">
              <w:rPr>
                <w:rFonts w:asciiTheme="majorHAnsi" w:hAnsiTheme="majorHAnsi" w:cstheme="majorHAnsi"/>
                <w:lang w:val="en-GB"/>
              </w:rPr>
              <w:t xml:space="preserve">Class </w:t>
            </w:r>
            <w:r>
              <w:rPr>
                <w:rFonts w:asciiTheme="majorHAnsi" w:hAnsiTheme="majorHAnsi" w:cstheme="majorHAnsi"/>
                <w:lang w:val="en-GB"/>
              </w:rPr>
              <w:t>A SOLAS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The AIS is a Emitter, Receiver and transponder equipment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The AIS has a w</w:t>
            </w:r>
            <w:r w:rsidRPr="004F24B3">
              <w:rPr>
                <w:rFonts w:asciiTheme="majorHAnsi" w:hAnsiTheme="majorHAnsi" w:cstheme="majorHAnsi"/>
                <w:lang w:val="en-GB"/>
              </w:rPr>
              <w:t>ide angle colour TFT LCD</w:t>
            </w:r>
            <w:r>
              <w:rPr>
                <w:rFonts w:asciiTheme="majorHAnsi" w:hAnsiTheme="majorHAnsi" w:cstheme="majorHAnsi"/>
                <w:lang w:val="en-GB"/>
              </w:rPr>
              <w:t xml:space="preserve"> (day and night modes)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4F24B3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674BC7">
              <w:rPr>
                <w:rFonts w:asciiTheme="majorHAnsi" w:hAnsiTheme="majorHAnsi" w:cstheme="majorHAnsi"/>
                <w:lang w:val="en-GB"/>
              </w:rPr>
              <w:t>Simplified Navigation Function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674BC7">
              <w:rPr>
                <w:rFonts w:asciiTheme="majorHAnsi" w:hAnsiTheme="majorHAnsi" w:cstheme="majorHAnsi"/>
                <w:lang w:val="en-GB"/>
              </w:rPr>
              <w:t xml:space="preserve">Navigation to </w:t>
            </w:r>
            <w:r>
              <w:rPr>
                <w:rFonts w:asciiTheme="majorHAnsi" w:hAnsiTheme="majorHAnsi" w:cstheme="majorHAnsi"/>
                <w:lang w:val="en-GB"/>
              </w:rPr>
              <w:t>Man Over Board (</w:t>
            </w:r>
            <w:r w:rsidRPr="00674BC7">
              <w:rPr>
                <w:rFonts w:asciiTheme="majorHAnsi" w:hAnsiTheme="majorHAnsi" w:cstheme="majorHAnsi"/>
                <w:lang w:val="en-GB"/>
              </w:rPr>
              <w:t>MOB</w:t>
            </w:r>
            <w:r>
              <w:rPr>
                <w:rFonts w:asciiTheme="majorHAnsi" w:hAnsiTheme="majorHAnsi" w:cstheme="majorHAnsi"/>
                <w:lang w:val="en-GB"/>
              </w:rPr>
              <w:t>)</w:t>
            </w:r>
            <w:r w:rsidRPr="00674BC7">
              <w:rPr>
                <w:rFonts w:asciiTheme="majorHAnsi" w:hAnsiTheme="majorHAnsi" w:cstheme="majorHAnsi"/>
                <w:lang w:val="en-GB"/>
              </w:rPr>
              <w:t xml:space="preserve"> Waypoint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4F24B3">
              <w:rPr>
                <w:rFonts w:asciiTheme="majorHAnsi" w:hAnsiTheme="majorHAnsi" w:cstheme="majorHAnsi"/>
                <w:lang w:val="en-GB"/>
              </w:rPr>
              <w:t>Collision alarm function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4F24B3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4F24B3">
              <w:rPr>
                <w:rFonts w:asciiTheme="majorHAnsi" w:hAnsiTheme="majorHAnsi" w:cstheme="majorHAnsi"/>
                <w:lang w:val="en-GB"/>
              </w:rPr>
              <w:t>Anchor watch function</w:t>
            </w:r>
            <w:r>
              <w:rPr>
                <w:rFonts w:asciiTheme="majorHAnsi" w:hAnsiTheme="majorHAnsi" w:cstheme="majorHAnsi"/>
                <w:lang w:val="en-GB"/>
              </w:rPr>
              <w:t xml:space="preserve"> with audible alarm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4F24B3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AIS target list vessels and details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spacing w:after="120"/>
              <w:rPr>
                <w:rFonts w:asciiTheme="majorHAnsi" w:hAnsiTheme="majorHAnsi" w:cstheme="majorHAnsi"/>
                <w:lang w:val="en-US"/>
              </w:rPr>
            </w:pPr>
            <w:r w:rsidRPr="00674BC7">
              <w:rPr>
                <w:rFonts w:asciiTheme="majorHAnsi" w:hAnsiTheme="majorHAnsi" w:cstheme="majorHAnsi"/>
                <w:lang w:val="en-US"/>
              </w:rPr>
              <w:t>Closest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74BC7">
              <w:rPr>
                <w:rFonts w:asciiTheme="majorHAnsi" w:hAnsiTheme="majorHAnsi" w:cstheme="majorHAnsi"/>
                <w:lang w:val="en-US"/>
              </w:rPr>
              <w:t>Point of Approach (CPA)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spacing w:after="120"/>
              <w:rPr>
                <w:rFonts w:asciiTheme="majorHAnsi" w:hAnsiTheme="majorHAnsi" w:cstheme="majorHAnsi"/>
                <w:lang w:val="en-US"/>
              </w:rPr>
            </w:pPr>
            <w:r w:rsidRPr="00610BD8">
              <w:rPr>
                <w:rFonts w:asciiTheme="majorHAnsi" w:hAnsiTheme="majorHAnsi" w:cstheme="majorHAnsi"/>
                <w:lang w:val="en-US"/>
              </w:rPr>
              <w:t xml:space="preserve">Silent </w:t>
            </w:r>
            <w:r>
              <w:rPr>
                <w:rFonts w:asciiTheme="majorHAnsi" w:hAnsiTheme="majorHAnsi" w:cstheme="majorHAnsi"/>
                <w:lang w:val="en-US"/>
              </w:rPr>
              <w:t>m</w:t>
            </w:r>
            <w:r w:rsidRPr="00610BD8">
              <w:rPr>
                <w:rFonts w:asciiTheme="majorHAnsi" w:hAnsiTheme="majorHAnsi" w:cstheme="majorHAnsi"/>
                <w:lang w:val="en-US"/>
              </w:rPr>
              <w:t xml:space="preserve">ode for </w:t>
            </w:r>
            <w:r>
              <w:rPr>
                <w:rFonts w:asciiTheme="majorHAnsi" w:hAnsiTheme="majorHAnsi" w:cstheme="majorHAnsi"/>
                <w:lang w:val="en-US"/>
              </w:rPr>
              <w:t>s</w:t>
            </w:r>
            <w:r w:rsidRPr="00610BD8">
              <w:rPr>
                <w:rFonts w:asciiTheme="majorHAnsi" w:hAnsiTheme="majorHAnsi" w:cstheme="majorHAnsi"/>
                <w:lang w:val="en-US"/>
              </w:rPr>
              <w:t xml:space="preserve">ecurity and </w:t>
            </w:r>
            <w:r>
              <w:rPr>
                <w:rFonts w:asciiTheme="majorHAnsi" w:hAnsiTheme="majorHAnsi" w:cstheme="majorHAnsi"/>
                <w:lang w:val="en-US"/>
              </w:rPr>
              <w:t>p</w:t>
            </w:r>
            <w:r w:rsidRPr="00610BD8">
              <w:rPr>
                <w:rFonts w:asciiTheme="majorHAnsi" w:hAnsiTheme="majorHAnsi" w:cstheme="majorHAnsi"/>
                <w:lang w:val="en-US"/>
              </w:rPr>
              <w:t>rivacy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674BC7" w:rsidRDefault="00BB6A1D" w:rsidP="00BB6A1D">
            <w:pPr>
              <w:spacing w:after="120"/>
              <w:rPr>
                <w:rFonts w:asciiTheme="majorHAnsi" w:hAnsiTheme="majorHAnsi" w:cstheme="majorHAnsi"/>
                <w:lang w:val="en-US"/>
              </w:rPr>
            </w:pPr>
            <w:r w:rsidRPr="00674BC7">
              <w:rPr>
                <w:rFonts w:asciiTheme="majorHAnsi" w:hAnsiTheme="majorHAnsi" w:cstheme="majorHAnsi"/>
                <w:lang w:val="en-US"/>
              </w:rPr>
              <w:t>Time to Closest Point of Approach (TCPA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4F24B3">
              <w:rPr>
                <w:rFonts w:ascii="Calibri Light" w:hAnsi="Calibri Light" w:cs="Calibri Light"/>
                <w:lang w:val="en-GB"/>
              </w:rPr>
              <w:t>Individual DSC call with connected marine VHF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4F24B3">
              <w:rPr>
                <w:rFonts w:ascii="Calibri Light" w:hAnsi="Calibri Light" w:cs="Calibri Light"/>
                <w:lang w:val="en-GB"/>
              </w:rPr>
              <w:t xml:space="preserve">Supplied </w:t>
            </w:r>
            <w:r>
              <w:rPr>
                <w:rFonts w:ascii="Calibri Light" w:hAnsi="Calibri Light" w:cs="Calibri Light"/>
                <w:lang w:val="en-GB"/>
              </w:rPr>
              <w:t>with GNSS antenna and</w:t>
            </w:r>
            <w:r w:rsidRPr="004F24B3">
              <w:rPr>
                <w:rFonts w:ascii="Calibri Light" w:hAnsi="Calibri Light" w:cs="Calibri Light"/>
                <w:lang w:val="en-GB"/>
              </w:rPr>
              <w:t xml:space="preserve"> receive</w:t>
            </w:r>
            <w:r>
              <w:rPr>
                <w:rFonts w:ascii="Calibri Light" w:hAnsi="Calibri Light" w:cs="Calibri Light"/>
                <w:lang w:val="en-GB"/>
              </w:rPr>
              <w:t>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NMEA 2000™,</w:t>
            </w:r>
            <w:r w:rsidRPr="004F24B3">
              <w:rPr>
                <w:rFonts w:asciiTheme="majorHAnsi" w:hAnsiTheme="majorHAnsi" w:cstheme="majorHAnsi"/>
                <w:lang w:val="en-GB"/>
              </w:rPr>
              <w:t xml:space="preserve"> NMEA 0183 connectivity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8426B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706F17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Plug and play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8426B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706F17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IP6</w:t>
            </w:r>
            <w:r w:rsidRPr="004F24B3">
              <w:rPr>
                <w:rFonts w:asciiTheme="majorHAnsi" w:hAnsiTheme="majorHAnsi" w:cstheme="majorHAnsi"/>
                <w:lang w:val="en-GB"/>
              </w:rPr>
              <w:t>7 P</w:t>
            </w:r>
            <w:r>
              <w:rPr>
                <w:rFonts w:asciiTheme="majorHAnsi" w:hAnsiTheme="majorHAnsi" w:cstheme="majorHAnsi"/>
                <w:lang w:val="en-GB"/>
              </w:rPr>
              <w:t>rotection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8426B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706F17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265475">
              <w:rPr>
                <w:rFonts w:asciiTheme="majorHAnsi" w:hAnsiTheme="majorHAnsi" w:cstheme="majorHAnsi"/>
                <w:lang w:val="en-GB"/>
              </w:rPr>
              <w:t>Compatible with both 12 V and 24 V power sources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8426B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 w:rsidRPr="00706F17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CC7EAD" w:rsidRDefault="00BB6A1D" w:rsidP="00BB6A1D">
            <w:pPr>
              <w:spacing w:after="120"/>
              <w:rPr>
                <w:rFonts w:asciiTheme="majorHAnsi" w:hAnsiTheme="majorHAnsi" w:cstheme="majorHAnsi"/>
                <w:lang w:val="en-US"/>
              </w:rPr>
            </w:pPr>
            <w:r w:rsidRPr="00CC7EAD">
              <w:rPr>
                <w:rFonts w:asciiTheme="majorHAnsi" w:hAnsiTheme="majorHAnsi" w:cstheme="majorHAnsi"/>
                <w:lang w:val="en-GB"/>
              </w:rPr>
              <w:t xml:space="preserve">DC </w:t>
            </w:r>
            <w:r>
              <w:rPr>
                <w:rFonts w:asciiTheme="majorHAnsi" w:hAnsiTheme="majorHAnsi" w:cstheme="majorHAnsi"/>
                <w:lang w:val="en-GB"/>
              </w:rPr>
              <w:t>power cable and mounting bracket kit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58426B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706F17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CC7EA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VHF antenna, tripod and cable with length greater than 3 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AD0F97">
              <w:rPr>
                <w:rFonts w:asciiTheme="majorHAnsi" w:hAnsiTheme="majorHAnsi" w:cstheme="majorHAnsi"/>
                <w:lang w:val="en-GB"/>
              </w:rPr>
              <w:t>Max Weight 2Kg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07806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Each AIS emitter receiver is delivered with its user manual in English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07806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807806">
              <w:rPr>
                <w:rFonts w:asciiTheme="majorHAnsi" w:hAnsiTheme="majorHAnsi" w:cstheme="majorHAnsi"/>
                <w:lang w:val="en-GB"/>
              </w:rPr>
              <w:t xml:space="preserve">Warranty : ≥ </w:t>
            </w:r>
            <w:r>
              <w:rPr>
                <w:rFonts w:asciiTheme="majorHAnsi" w:hAnsiTheme="majorHAnsi" w:cstheme="majorHAnsi"/>
                <w:lang w:val="en-GB"/>
              </w:rPr>
              <w:t>1</w:t>
            </w:r>
            <w:r w:rsidRPr="00807806">
              <w:rPr>
                <w:rFonts w:asciiTheme="majorHAnsi" w:hAnsiTheme="majorHAnsi" w:cstheme="majorHAnsi"/>
                <w:lang w:val="en-GB"/>
              </w:rPr>
              <w:t xml:space="preserve"> years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807806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The 50 AIS  emitter receiver</w:t>
            </w:r>
            <w:r w:rsidRPr="0034129D">
              <w:rPr>
                <w:rFonts w:asciiTheme="majorHAnsi" w:hAnsiTheme="majorHAnsi" w:cstheme="majorHAnsi"/>
                <w:lang w:val="en-GB"/>
              </w:rPr>
              <w:t xml:space="preserve"> must have an identical configuration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8A7455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EX-24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AD0F97" w:rsidRDefault="00BB6A1D" w:rsidP="00BB6A1D">
            <w:pPr>
              <w:spacing w:after="120"/>
              <w:rPr>
                <w:rFonts w:asciiTheme="majorHAnsi" w:hAnsiTheme="majorHAnsi" w:cstheme="majorHAnsi"/>
                <w:highlight w:val="yellow"/>
                <w:lang w:val="en-GB"/>
              </w:rPr>
            </w:pPr>
            <w:r w:rsidRPr="0034129D">
              <w:rPr>
                <w:rFonts w:asciiTheme="majorHAnsi" w:hAnsiTheme="majorHAnsi" w:cstheme="majorHAnsi"/>
                <w:lang w:val="en-GB"/>
              </w:rPr>
              <w:t xml:space="preserve">The </w:t>
            </w:r>
            <w:r>
              <w:rPr>
                <w:rFonts w:asciiTheme="majorHAnsi" w:hAnsiTheme="majorHAnsi" w:cstheme="majorHAnsi"/>
                <w:lang w:val="en-GB"/>
              </w:rPr>
              <w:t xml:space="preserve">AIS emitter receiver </w:t>
            </w:r>
            <w:r w:rsidRPr="0034129D">
              <w:rPr>
                <w:rFonts w:asciiTheme="majorHAnsi" w:hAnsiTheme="majorHAnsi" w:cstheme="majorHAnsi"/>
                <w:lang w:val="en-GB"/>
              </w:rPr>
              <w:t>packaging is compliant with international s</w:t>
            </w:r>
            <w:r>
              <w:rPr>
                <w:rFonts w:asciiTheme="majorHAnsi" w:hAnsiTheme="majorHAnsi" w:cstheme="majorHAnsi"/>
                <w:lang w:val="en-GB"/>
              </w:rPr>
              <w:t>tandards and they protects the receivers</w:t>
            </w:r>
            <w:r w:rsidRPr="0034129D">
              <w:rPr>
                <w:rFonts w:asciiTheme="majorHAnsi" w:hAnsiTheme="majorHAnsi" w:cstheme="majorHAnsi"/>
                <w:lang w:val="en-GB"/>
              </w:rPr>
              <w:t xml:space="preserve"> against the shocks, high temperature and humidity. The packaging </w:t>
            </w:r>
            <w:proofErr w:type="gramStart"/>
            <w:r w:rsidRPr="0034129D">
              <w:rPr>
                <w:rFonts w:asciiTheme="majorHAnsi" w:hAnsiTheme="majorHAnsi" w:cstheme="majorHAnsi"/>
                <w:lang w:val="en-GB"/>
              </w:rPr>
              <w:t>are sealed</w:t>
            </w:r>
            <w:proofErr w:type="gramEnd"/>
            <w:r w:rsidRPr="0034129D">
              <w:rPr>
                <w:rFonts w:asciiTheme="majorHAnsi" w:hAnsiTheme="majorHAnsi" w:cstheme="majorHAnsi"/>
                <w:lang w:val="en-GB"/>
              </w:rPr>
              <w:t xml:space="preserve"> during shipping.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Pr="00AD0F97" w:rsidRDefault="00BB6A1D" w:rsidP="00BB6A1D">
            <w:pPr>
              <w:spacing w:after="120"/>
              <w:rPr>
                <w:rFonts w:asciiTheme="majorHAnsi" w:hAnsiTheme="majorHAnsi" w:cstheme="majorHAnsi"/>
                <w:highlight w:val="yellow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Individual factory control certificate supplied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B6A1D" w:rsidRPr="008A7455" w:rsidTr="006F330A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Default="00BB6A1D" w:rsidP="00BB6A1D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EX-26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1D" w:rsidRDefault="00BB6A1D" w:rsidP="00BB6A1D">
            <w:pPr>
              <w:spacing w:after="120"/>
              <w:rPr>
                <w:rFonts w:asciiTheme="majorHAnsi" w:hAnsiTheme="majorHAnsi" w:cstheme="majorHAnsi"/>
                <w:lang w:val="en-GB"/>
              </w:rPr>
            </w:pPr>
            <w:r w:rsidRPr="00133B75">
              <w:rPr>
                <w:rFonts w:asciiTheme="majorHAnsi" w:hAnsiTheme="majorHAnsi" w:cstheme="majorHAnsi"/>
                <w:lang w:val="en-GB"/>
              </w:rPr>
              <w:t xml:space="preserve">The </w:t>
            </w:r>
            <w:r>
              <w:rPr>
                <w:rFonts w:asciiTheme="majorHAnsi" w:hAnsiTheme="majorHAnsi" w:cstheme="majorHAnsi"/>
                <w:lang w:val="en-GB"/>
              </w:rPr>
              <w:t>50 AIS emitter receivers</w:t>
            </w:r>
            <w:r w:rsidRPr="00133B75">
              <w:rPr>
                <w:rFonts w:asciiTheme="majorHAnsi" w:hAnsiTheme="majorHAnsi" w:cstheme="majorHAnsi"/>
                <w:lang w:val="en-GB"/>
              </w:rPr>
              <w:t xml:space="preserve"> are delivered before 3 months after order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1D" w:rsidRPr="007B18B5" w:rsidRDefault="00BB6A1D" w:rsidP="00BB6A1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A963E0" w:rsidRPr="00D16CFD" w:rsidRDefault="00A963E0">
      <w:pPr>
        <w:rPr>
          <w:lang w:val="en-US"/>
        </w:rPr>
      </w:pPr>
    </w:p>
    <w:sectPr w:rsidR="00A963E0" w:rsidRPr="00D16CFD" w:rsidSect="00A66D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4" w:rsidRDefault="00551AF4" w:rsidP="005B1ED8">
      <w:pPr>
        <w:spacing w:after="0" w:line="240" w:lineRule="auto"/>
      </w:pPr>
      <w:r>
        <w:separator/>
      </w:r>
    </w:p>
  </w:endnote>
  <w:end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E1" w:rsidRPr="009A2B0A" w:rsidRDefault="00984462" w:rsidP="00984462">
    <w:pPr>
      <w:pStyle w:val="Pieddepage"/>
      <w:pBdr>
        <w:top w:val="single" w:sz="4" w:space="0" w:color="BFBFBF" w:themeColor="background1" w:themeShade="BF"/>
      </w:pBdr>
      <w:rPr>
        <w:sz w:val="18"/>
        <w:szCs w:val="18"/>
        <w:lang w:val="fr-FR"/>
      </w:rPr>
    </w:pPr>
    <w:r w:rsidRPr="009A2B0A">
      <w:rPr>
        <w:sz w:val="18"/>
        <w:szCs w:val="18"/>
        <w:lang w:val="fr-FR"/>
      </w:rPr>
      <w:t xml:space="preserve"> </w:t>
    </w:r>
    <w:r w:rsidR="008630E1" w:rsidRPr="009A2B0A">
      <w:rPr>
        <w:sz w:val="18"/>
        <w:szCs w:val="18"/>
        <w:lang w:val="fr-FR"/>
      </w:rPr>
      <w:t xml:space="preserve">” Compliance Matrices </w:t>
    </w:r>
    <w:r w:rsidR="008630E1" w:rsidRPr="009A2B0A">
      <w:ptab w:relativeTo="margin" w:alignment="right" w:leader="none"/>
    </w:r>
    <w:r w:rsidR="008630E1" w:rsidRPr="009A2B0A">
      <w:rPr>
        <w:sz w:val="18"/>
        <w:szCs w:val="18"/>
        <w:lang w:val="fr-FR"/>
      </w:rPr>
      <w:t xml:space="preserve">Page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PAGE  \* Arabic  \* MERGEFORMAT</w:instrText>
    </w:r>
    <w:r w:rsidR="008630E1" w:rsidRPr="009A2B0A">
      <w:rPr>
        <w:sz w:val="18"/>
        <w:szCs w:val="18"/>
      </w:rPr>
      <w:fldChar w:fldCharType="separate"/>
    </w:r>
    <w:r w:rsidR="00D53762" w:rsidRPr="00D53762">
      <w:rPr>
        <w:noProof/>
        <w:sz w:val="18"/>
        <w:szCs w:val="18"/>
        <w:lang w:val="fr-FR"/>
      </w:rPr>
      <w:t>8</w:t>
    </w:r>
    <w:r w:rsidR="008630E1" w:rsidRPr="009A2B0A">
      <w:rPr>
        <w:sz w:val="18"/>
        <w:szCs w:val="18"/>
      </w:rPr>
      <w:fldChar w:fldCharType="end"/>
    </w:r>
    <w:r w:rsidR="008630E1" w:rsidRPr="009A2B0A">
      <w:rPr>
        <w:sz w:val="18"/>
        <w:szCs w:val="18"/>
        <w:lang w:val="fr-FR"/>
      </w:rPr>
      <w:t xml:space="preserve">of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NUMPAGES  \* Arabic  \* MERGEFORMAT</w:instrText>
    </w:r>
    <w:r w:rsidR="008630E1" w:rsidRPr="009A2B0A">
      <w:rPr>
        <w:sz w:val="18"/>
        <w:szCs w:val="18"/>
      </w:rPr>
      <w:fldChar w:fldCharType="separate"/>
    </w:r>
    <w:r w:rsidR="00D53762" w:rsidRPr="00D53762">
      <w:rPr>
        <w:noProof/>
        <w:sz w:val="18"/>
        <w:szCs w:val="18"/>
        <w:lang w:val="fr-FR"/>
      </w:rPr>
      <w:t>9</w:t>
    </w:r>
    <w:r w:rsidR="008630E1" w:rsidRPr="009A2B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4" w:rsidRDefault="00551AF4" w:rsidP="005B1ED8">
      <w:pPr>
        <w:spacing w:after="0" w:line="240" w:lineRule="auto"/>
      </w:pPr>
      <w:r>
        <w:separator/>
      </w:r>
    </w:p>
  </w:footnote>
  <w:foot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03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F5CD8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76D41"/>
    <w:multiLevelType w:val="hybridMultilevel"/>
    <w:tmpl w:val="38EE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8E4"/>
    <w:multiLevelType w:val="hybridMultilevel"/>
    <w:tmpl w:val="9918C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F0"/>
    <w:multiLevelType w:val="hybridMultilevel"/>
    <w:tmpl w:val="DC764D0A"/>
    <w:lvl w:ilvl="0" w:tplc="D056E8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F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B674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D4C8A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F7B7B"/>
    <w:multiLevelType w:val="hybridMultilevel"/>
    <w:tmpl w:val="95AC68E2"/>
    <w:lvl w:ilvl="0" w:tplc="35A2F44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548"/>
    <w:multiLevelType w:val="hybridMultilevel"/>
    <w:tmpl w:val="54687546"/>
    <w:lvl w:ilvl="0" w:tplc="B5D417C2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B924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A2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9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F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4C4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C07B1"/>
    <w:multiLevelType w:val="hybridMultilevel"/>
    <w:tmpl w:val="35BE0E2C"/>
    <w:lvl w:ilvl="0" w:tplc="08D66816">
      <w:start w:val="1"/>
      <w:numFmt w:val="decimal"/>
      <w:pStyle w:val="Exigence"/>
      <w:lvlText w:val="[EX-%1]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E7527"/>
    <w:multiLevelType w:val="hybridMultilevel"/>
    <w:tmpl w:val="C8446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A95"/>
    <w:multiLevelType w:val="hybridMultilevel"/>
    <w:tmpl w:val="FF24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957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E07CC"/>
    <w:multiLevelType w:val="hybridMultilevel"/>
    <w:tmpl w:val="F2C4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A41"/>
    <w:multiLevelType w:val="hybridMultilevel"/>
    <w:tmpl w:val="B9C2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252C3"/>
    <w:multiLevelType w:val="hybridMultilevel"/>
    <w:tmpl w:val="FEE06FEE"/>
    <w:lvl w:ilvl="0" w:tplc="CE9E16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C968BF0" w:tentative="1">
      <w:start w:val="1"/>
      <w:numFmt w:val="lowerLetter"/>
      <w:lvlText w:val="%2."/>
      <w:lvlJc w:val="left"/>
      <w:pPr>
        <w:ind w:left="1505" w:hanging="360"/>
      </w:pPr>
    </w:lvl>
    <w:lvl w:ilvl="2" w:tplc="1916E34E" w:tentative="1">
      <w:start w:val="1"/>
      <w:numFmt w:val="lowerRoman"/>
      <w:lvlText w:val="%3."/>
      <w:lvlJc w:val="right"/>
      <w:pPr>
        <w:ind w:left="2225" w:hanging="180"/>
      </w:pPr>
    </w:lvl>
    <w:lvl w:ilvl="3" w:tplc="DEE6B2E0" w:tentative="1">
      <w:start w:val="1"/>
      <w:numFmt w:val="decimal"/>
      <w:lvlText w:val="%4."/>
      <w:lvlJc w:val="left"/>
      <w:pPr>
        <w:ind w:left="2945" w:hanging="360"/>
      </w:pPr>
    </w:lvl>
    <w:lvl w:ilvl="4" w:tplc="AB381062" w:tentative="1">
      <w:start w:val="1"/>
      <w:numFmt w:val="lowerLetter"/>
      <w:lvlText w:val="%5."/>
      <w:lvlJc w:val="left"/>
      <w:pPr>
        <w:ind w:left="3665" w:hanging="360"/>
      </w:pPr>
    </w:lvl>
    <w:lvl w:ilvl="5" w:tplc="E1DE8D8C" w:tentative="1">
      <w:start w:val="1"/>
      <w:numFmt w:val="lowerRoman"/>
      <w:lvlText w:val="%6."/>
      <w:lvlJc w:val="right"/>
      <w:pPr>
        <w:ind w:left="4385" w:hanging="180"/>
      </w:pPr>
    </w:lvl>
    <w:lvl w:ilvl="6" w:tplc="C0BEB498" w:tentative="1">
      <w:start w:val="1"/>
      <w:numFmt w:val="decimal"/>
      <w:lvlText w:val="%7."/>
      <w:lvlJc w:val="left"/>
      <w:pPr>
        <w:ind w:left="5105" w:hanging="360"/>
      </w:pPr>
    </w:lvl>
    <w:lvl w:ilvl="7" w:tplc="E346B1DC" w:tentative="1">
      <w:start w:val="1"/>
      <w:numFmt w:val="lowerLetter"/>
      <w:lvlText w:val="%8."/>
      <w:lvlJc w:val="left"/>
      <w:pPr>
        <w:ind w:left="5825" w:hanging="360"/>
      </w:pPr>
    </w:lvl>
    <w:lvl w:ilvl="8" w:tplc="D05CF92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EA71A5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A15A9"/>
    <w:multiLevelType w:val="hybridMultilevel"/>
    <w:tmpl w:val="53C65F8C"/>
    <w:lvl w:ilvl="0" w:tplc="E00A77D6">
      <w:start w:val="1"/>
      <w:numFmt w:val="decimal"/>
      <w:pStyle w:val="Option"/>
      <w:lvlText w:val="[OP-%1]"/>
      <w:lvlJc w:val="righ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9B199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E1D1E"/>
    <w:multiLevelType w:val="multilevel"/>
    <w:tmpl w:val="83E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21"/>
  </w:num>
  <w:num w:numId="5">
    <w:abstractNumId w:val="9"/>
  </w:num>
  <w:num w:numId="6">
    <w:abstractNumId w:val="17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18"/>
  </w:num>
  <w:num w:numId="12">
    <w:abstractNumId w:val="1"/>
  </w:num>
  <w:num w:numId="13">
    <w:abstractNumId w:val="14"/>
  </w:num>
  <w:num w:numId="14">
    <w:abstractNumId w:val="6"/>
  </w:num>
  <w:num w:numId="15">
    <w:abstractNumId w:val="5"/>
  </w:num>
  <w:num w:numId="16">
    <w:abstractNumId w:val="10"/>
  </w:num>
  <w:num w:numId="17">
    <w:abstractNumId w:val="20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8"/>
    <w:rsid w:val="000572F5"/>
    <w:rsid w:val="000921F5"/>
    <w:rsid w:val="00124395"/>
    <w:rsid w:val="0017355C"/>
    <w:rsid w:val="001C1B80"/>
    <w:rsid w:val="00270F41"/>
    <w:rsid w:val="002E1422"/>
    <w:rsid w:val="00311E46"/>
    <w:rsid w:val="003B14EC"/>
    <w:rsid w:val="003B40E3"/>
    <w:rsid w:val="003B5512"/>
    <w:rsid w:val="003D5F34"/>
    <w:rsid w:val="003E57AB"/>
    <w:rsid w:val="00402944"/>
    <w:rsid w:val="004207A9"/>
    <w:rsid w:val="00423EA8"/>
    <w:rsid w:val="00441092"/>
    <w:rsid w:val="004A025E"/>
    <w:rsid w:val="004E11A6"/>
    <w:rsid w:val="00524F6D"/>
    <w:rsid w:val="005477E2"/>
    <w:rsid w:val="00551AF4"/>
    <w:rsid w:val="00566D53"/>
    <w:rsid w:val="005B1ED8"/>
    <w:rsid w:val="005F4F4A"/>
    <w:rsid w:val="005F5655"/>
    <w:rsid w:val="00613193"/>
    <w:rsid w:val="0068698B"/>
    <w:rsid w:val="006C2961"/>
    <w:rsid w:val="006E2661"/>
    <w:rsid w:val="006F1BC0"/>
    <w:rsid w:val="00801E43"/>
    <w:rsid w:val="00823908"/>
    <w:rsid w:val="008371B2"/>
    <w:rsid w:val="008630E1"/>
    <w:rsid w:val="00930024"/>
    <w:rsid w:val="00935DCE"/>
    <w:rsid w:val="00935E82"/>
    <w:rsid w:val="00984462"/>
    <w:rsid w:val="009A2B0A"/>
    <w:rsid w:val="009C06A2"/>
    <w:rsid w:val="009D0704"/>
    <w:rsid w:val="009E5361"/>
    <w:rsid w:val="009F5086"/>
    <w:rsid w:val="00A66DA5"/>
    <w:rsid w:val="00A776E3"/>
    <w:rsid w:val="00A963E0"/>
    <w:rsid w:val="00AB7019"/>
    <w:rsid w:val="00AD0941"/>
    <w:rsid w:val="00B11C5E"/>
    <w:rsid w:val="00B87A0A"/>
    <w:rsid w:val="00B94DFE"/>
    <w:rsid w:val="00BA7D6A"/>
    <w:rsid w:val="00BB6A1D"/>
    <w:rsid w:val="00BD30B2"/>
    <w:rsid w:val="00C60FA5"/>
    <w:rsid w:val="00C616D3"/>
    <w:rsid w:val="00C958B2"/>
    <w:rsid w:val="00D16CFD"/>
    <w:rsid w:val="00D53762"/>
    <w:rsid w:val="00D94A6C"/>
    <w:rsid w:val="00DB71A4"/>
    <w:rsid w:val="00E36F69"/>
    <w:rsid w:val="00E8687E"/>
    <w:rsid w:val="00EA7EA7"/>
    <w:rsid w:val="00EB3A6F"/>
    <w:rsid w:val="00F07E03"/>
    <w:rsid w:val="00F621CA"/>
    <w:rsid w:val="00F8234E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EB552F"/>
  <w15:chartTrackingRefBased/>
  <w15:docId w15:val="{6F385A7A-D3D0-4423-AA2A-28AD2C3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D8"/>
  </w:style>
  <w:style w:type="paragraph" w:styleId="Titre1">
    <w:name w:val="heading 1"/>
    <w:aliases w:val="titre"/>
    <w:basedOn w:val="Paragraphedeliste"/>
    <w:next w:val="Normal"/>
    <w:link w:val="Titre1Car"/>
    <w:autoRedefine/>
    <w:qFormat/>
    <w:rsid w:val="00FE1D69"/>
    <w:pPr>
      <w:numPr>
        <w:numId w:val="20"/>
      </w:numPr>
      <w:pBdr>
        <w:bottom w:val="single" w:sz="4" w:space="1" w:color="598392"/>
      </w:pBdr>
      <w:spacing w:before="240" w:after="0"/>
      <w:contextualSpacing w:val="0"/>
      <w:jc w:val="both"/>
      <w:outlineLvl w:val="0"/>
    </w:pPr>
    <w:rPr>
      <w:rFonts w:asciiTheme="majorHAnsi" w:hAnsiTheme="majorHAnsi" w:cstheme="majorHAnsi"/>
      <w:b/>
      <w:bCs/>
      <w:color w:val="598392"/>
      <w:sz w:val="32"/>
      <w:szCs w:val="32"/>
    </w:rPr>
  </w:style>
  <w:style w:type="paragraph" w:styleId="Titre2">
    <w:name w:val="heading 2"/>
    <w:basedOn w:val="Paragraphedeliste"/>
    <w:link w:val="Titre2Car"/>
    <w:qFormat/>
    <w:rsid w:val="005B1ED8"/>
    <w:pPr>
      <w:numPr>
        <w:ilvl w:val="1"/>
        <w:numId w:val="4"/>
      </w:numPr>
      <w:tabs>
        <w:tab w:val="left" w:pos="993"/>
      </w:tabs>
      <w:spacing w:before="120" w:after="120" w:line="240" w:lineRule="auto"/>
      <w:contextualSpacing w:val="0"/>
      <w:outlineLvl w:val="1"/>
    </w:pPr>
    <w:rPr>
      <w:rFonts w:asciiTheme="majorHAnsi" w:hAnsiTheme="majorHAnsi" w:cstheme="majorHAnsi"/>
      <w:i/>
      <w:iCs/>
      <w:color w:val="598392"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B1ED8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1ED8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1ED8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ED8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ED8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ED8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ED8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ar"/>
    <w:basedOn w:val="Policepardfaut"/>
    <w:link w:val="Titre1"/>
    <w:rsid w:val="00FE1D69"/>
    <w:rPr>
      <w:rFonts w:asciiTheme="majorHAnsi" w:hAnsiTheme="majorHAnsi" w:cstheme="majorHAnsi"/>
      <w:b/>
      <w:bCs/>
      <w:color w:val="598392"/>
      <w:sz w:val="32"/>
      <w:szCs w:val="32"/>
    </w:rPr>
  </w:style>
  <w:style w:type="character" w:customStyle="1" w:styleId="Titre2Car">
    <w:name w:val="Titre 2 Car"/>
    <w:basedOn w:val="Policepardfaut"/>
    <w:link w:val="Titre2"/>
    <w:rsid w:val="005B1ED8"/>
    <w:rPr>
      <w:rFonts w:asciiTheme="majorHAnsi" w:hAnsiTheme="majorHAnsi" w:cstheme="majorHAnsi"/>
      <w:i/>
      <w:iCs/>
      <w:color w:val="598392"/>
      <w:sz w:val="28"/>
      <w:szCs w:val="28"/>
      <w:lang w:val="en"/>
    </w:rPr>
  </w:style>
  <w:style w:type="character" w:customStyle="1" w:styleId="Titre3Car">
    <w:name w:val="Titre 3 Car"/>
    <w:basedOn w:val="Policepardfaut"/>
    <w:link w:val="Titre3"/>
    <w:rsid w:val="005B1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  <w:style w:type="character" w:customStyle="1" w:styleId="Titre4Car">
    <w:name w:val="Titre 4 Car"/>
    <w:basedOn w:val="Policepardfaut"/>
    <w:link w:val="Titre4"/>
    <w:uiPriority w:val="9"/>
    <w:rsid w:val="005B1ED8"/>
    <w:rPr>
      <w:rFonts w:asciiTheme="majorHAnsi" w:eastAsiaTheme="majorEastAsia" w:hAnsiTheme="majorHAnsi" w:cstheme="majorBidi"/>
      <w:i/>
      <w:iCs/>
      <w:color w:val="2E74B5" w:themeColor="accent1" w:themeShade="BF"/>
      <w:lang w:val="en"/>
    </w:rPr>
  </w:style>
  <w:style w:type="character" w:customStyle="1" w:styleId="Titre5Car">
    <w:name w:val="Titre 5 Car"/>
    <w:basedOn w:val="Policepardfaut"/>
    <w:link w:val="Titre5"/>
    <w:uiPriority w:val="9"/>
    <w:rsid w:val="005B1ED8"/>
    <w:rPr>
      <w:rFonts w:asciiTheme="majorHAnsi" w:eastAsiaTheme="majorEastAsia" w:hAnsiTheme="majorHAnsi" w:cstheme="majorBidi"/>
      <w:color w:val="2E74B5" w:themeColor="accent1" w:themeShade="BF"/>
      <w:lang w:val="en"/>
    </w:rPr>
  </w:style>
  <w:style w:type="character" w:customStyle="1" w:styleId="Titre6Car">
    <w:name w:val="Titre 6 Car"/>
    <w:basedOn w:val="Policepardfaut"/>
    <w:link w:val="Titre6"/>
    <w:uiPriority w:val="9"/>
    <w:semiHidden/>
    <w:rsid w:val="005B1ED8"/>
    <w:rPr>
      <w:rFonts w:asciiTheme="majorHAnsi" w:eastAsiaTheme="majorEastAsia" w:hAnsiTheme="majorHAnsi" w:cstheme="majorBidi"/>
      <w:color w:val="1F4D78" w:themeColor="accent1" w:themeShade="7F"/>
      <w:lang w:val="en"/>
    </w:rPr>
  </w:style>
  <w:style w:type="character" w:customStyle="1" w:styleId="Titre7Car">
    <w:name w:val="Titre 7 Car"/>
    <w:basedOn w:val="Policepardfaut"/>
    <w:link w:val="Titre7"/>
    <w:uiPriority w:val="9"/>
    <w:semiHidden/>
    <w:rsid w:val="005B1ED8"/>
    <w:rPr>
      <w:rFonts w:asciiTheme="majorHAnsi" w:eastAsiaTheme="majorEastAsia" w:hAnsiTheme="majorHAnsi" w:cstheme="majorBidi"/>
      <w:i/>
      <w:iCs/>
      <w:color w:val="1F4D78" w:themeColor="accent1" w:themeShade="7F"/>
      <w:lang w:val="en"/>
    </w:rPr>
  </w:style>
  <w:style w:type="character" w:customStyle="1" w:styleId="Titre8Car">
    <w:name w:val="Titre 8 Car"/>
    <w:basedOn w:val="Policepardfaut"/>
    <w:link w:val="Titre8"/>
    <w:uiPriority w:val="9"/>
    <w:semiHidden/>
    <w:rsid w:val="005B1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Titre9Car">
    <w:name w:val="Titre 9 Car"/>
    <w:basedOn w:val="Policepardfaut"/>
    <w:link w:val="Titre9"/>
    <w:uiPriority w:val="9"/>
    <w:semiHidden/>
    <w:rsid w:val="005B1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Paragraphedeliste">
    <w:name w:val="List Paragraph"/>
    <w:basedOn w:val="Normal"/>
    <w:link w:val="ParagraphedelisteCar"/>
    <w:uiPriority w:val="34"/>
    <w:qFormat/>
    <w:rsid w:val="005B1ED8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5B1ED8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basedOn w:val="Normal"/>
    <w:rsid w:val="005B1ED8"/>
    <w:pPr>
      <w:autoSpaceDE w:val="0"/>
      <w:autoSpaceDN w:val="0"/>
      <w:spacing w:after="0" w:line="240" w:lineRule="auto"/>
    </w:pPr>
    <w:rPr>
      <w:rFonts w:ascii="Gill Sans MT" w:hAnsi="Gill Sans MT" w:cs="Times New Roman"/>
      <w:color w:val="000000"/>
      <w:sz w:val="24"/>
      <w:szCs w:val="24"/>
    </w:rPr>
  </w:style>
  <w:style w:type="paragraph" w:customStyle="1" w:styleId="Exigence">
    <w:name w:val="Exigence"/>
    <w:basedOn w:val="Paragraphedeliste"/>
    <w:link w:val="ExigenceCar"/>
    <w:autoRedefine/>
    <w:qFormat/>
    <w:rsid w:val="005B1ED8"/>
    <w:pPr>
      <w:numPr>
        <w:numId w:val="8"/>
      </w:numPr>
      <w:spacing w:before="120"/>
      <w:jc w:val="both"/>
    </w:pPr>
    <w:rPr>
      <w:rFonts w:asciiTheme="majorHAnsi" w:hAnsiTheme="majorHAnsi" w:cs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D8"/>
    <w:rPr>
      <w:rFonts w:ascii="Segoe UI" w:hAnsi="Segoe UI" w:cs="Segoe UI"/>
      <w:sz w:val="18"/>
      <w:szCs w:val="18"/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5B1E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1E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1ED8"/>
    <w:rPr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E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ED8"/>
    <w:rPr>
      <w:b/>
      <w:bCs/>
      <w:sz w:val="20"/>
      <w:szCs w:val="20"/>
      <w:lang w:val="en"/>
    </w:rPr>
  </w:style>
  <w:style w:type="paragraph" w:styleId="En-tte">
    <w:name w:val="header"/>
    <w:basedOn w:val="Normal"/>
    <w:link w:val="En-tteCar"/>
    <w:uiPriority w:val="99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ED8"/>
    <w:rPr>
      <w:lang w:val="en"/>
    </w:rPr>
  </w:style>
  <w:style w:type="paragraph" w:styleId="Pieddepage">
    <w:name w:val="footer"/>
    <w:basedOn w:val="Normal"/>
    <w:link w:val="PieddepageCar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1ED8"/>
    <w:rPr>
      <w:lang w:val="en"/>
    </w:rPr>
  </w:style>
  <w:style w:type="table" w:styleId="Grilledutableau">
    <w:name w:val="Table Grid"/>
    <w:basedOn w:val="TableauNormal"/>
    <w:rsid w:val="005B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B1ED8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1ED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1ED8"/>
    <w:pPr>
      <w:spacing w:before="60" w:after="6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5B1ED8"/>
    <w:pPr>
      <w:tabs>
        <w:tab w:val="left" w:pos="880"/>
        <w:tab w:val="right" w:leader="dot" w:pos="9628"/>
      </w:tabs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5B1ED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rsid w:val="005B1ED8"/>
    <w:pPr>
      <w:spacing w:after="0" w:line="240" w:lineRule="auto"/>
    </w:pPr>
    <w:rPr>
      <w:rFonts w:ascii="Calibri" w:eastAsia="Times New Roman" w:hAnsi="Calibri" w:cs="Consolas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B1ED8"/>
    <w:rPr>
      <w:rFonts w:ascii="Calibri" w:eastAsia="Times New Roman" w:hAnsi="Calibri" w:cs="Consolas"/>
      <w:szCs w:val="21"/>
      <w:lang w:val="en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1E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B1ED8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5B1ED8"/>
    <w:pPr>
      <w:spacing w:after="100"/>
      <w:ind w:left="440"/>
    </w:pPr>
  </w:style>
  <w:style w:type="paragraph" w:styleId="Rvision">
    <w:name w:val="Revision"/>
    <w:hidden/>
    <w:uiPriority w:val="99"/>
    <w:semiHidden/>
    <w:rsid w:val="005B1E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D8"/>
    <w:rPr>
      <w:sz w:val="20"/>
      <w:szCs w:val="20"/>
      <w:lang w:val="en"/>
    </w:rPr>
  </w:style>
  <w:style w:type="character" w:styleId="Appelnotedebasdep">
    <w:name w:val="footnote reference"/>
    <w:basedOn w:val="Policepardfaut"/>
    <w:uiPriority w:val="99"/>
    <w:semiHidden/>
    <w:unhideWhenUsed/>
    <w:rsid w:val="005B1ED8"/>
    <w:rPr>
      <w:vertAlign w:val="superscript"/>
    </w:rPr>
  </w:style>
  <w:style w:type="paragraph" w:customStyle="1" w:styleId="Option">
    <w:name w:val="Option"/>
    <w:basedOn w:val="Exigence"/>
    <w:link w:val="OptionCar"/>
    <w:qFormat/>
    <w:rsid w:val="005B1ED8"/>
    <w:pPr>
      <w:numPr>
        <w:numId w:val="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1ED8"/>
    <w:rPr>
      <w:lang w:val="en"/>
    </w:rPr>
  </w:style>
  <w:style w:type="character" w:customStyle="1" w:styleId="ExigenceCar">
    <w:name w:val="Exigence Car"/>
    <w:basedOn w:val="ParagraphedelisteCar"/>
    <w:link w:val="Exigence"/>
    <w:rsid w:val="005B1ED8"/>
    <w:rPr>
      <w:rFonts w:asciiTheme="majorHAnsi" w:hAnsiTheme="majorHAnsi" w:cstheme="majorHAnsi"/>
      <w:lang w:val="en"/>
    </w:rPr>
  </w:style>
  <w:style w:type="character" w:customStyle="1" w:styleId="OptionCar">
    <w:name w:val="Option Car"/>
    <w:basedOn w:val="ExigenceCar"/>
    <w:link w:val="Option"/>
    <w:rsid w:val="005B1ED8"/>
    <w:rPr>
      <w:rFonts w:asciiTheme="majorHAnsi" w:hAnsiTheme="majorHAnsi" w:cstheme="majorHAnsi"/>
      <w:lang w:val="en"/>
    </w:rPr>
  </w:style>
  <w:style w:type="character" w:styleId="lev">
    <w:name w:val="Strong"/>
    <w:basedOn w:val="Policepardfaut"/>
    <w:uiPriority w:val="22"/>
    <w:qFormat/>
    <w:rsid w:val="005B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95E1-FFE8-437E-BBC6-03B34EC4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Défense Conseil International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TRIBOUT Bastien</dc:creator>
  <cp:keywords/>
  <dc:description/>
  <cp:lastModifiedBy>LERAY Etienne</cp:lastModifiedBy>
  <cp:revision>5</cp:revision>
  <dcterms:created xsi:type="dcterms:W3CDTF">2024-04-26T15:06:00Z</dcterms:created>
  <dcterms:modified xsi:type="dcterms:W3CDTF">2024-05-31T12:22:00Z</dcterms:modified>
</cp:coreProperties>
</file>